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B967" w14:textId="2855330D" w:rsidR="00F93DCF" w:rsidRDefault="00F93DCF" w:rsidP="00F93DCF">
      <w:pPr>
        <w:jc w:val="center"/>
      </w:pPr>
      <w:r>
        <w:rPr>
          <w:noProof/>
        </w:rPr>
        <w:drawing>
          <wp:inline distT="0" distB="0" distL="0" distR="0" wp14:anchorId="0E7106D6" wp14:editId="2D26DB91">
            <wp:extent cx="1927860" cy="474269"/>
            <wp:effectExtent l="0" t="0" r="0" b="2540"/>
            <wp:docPr id="2" name="Image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6" cy="4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43B6F" w14:textId="77777777" w:rsidR="00F93DCF" w:rsidRPr="00F7255F" w:rsidRDefault="00F93DCF" w:rsidP="00F93DCF">
      <w:pPr>
        <w:jc w:val="center"/>
        <w:rPr>
          <w:sz w:val="4"/>
          <w:szCs w:val="4"/>
        </w:rPr>
      </w:pPr>
    </w:p>
    <w:p w14:paraId="19C2715F" w14:textId="3DC97976" w:rsidR="00F93DCF" w:rsidRPr="00F93DCF" w:rsidRDefault="00F93DCF" w:rsidP="00F93DCF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3849"/>
          <w:sz w:val="40"/>
          <w:szCs w:val="44"/>
          <w:bdr w:val="none" w:sz="0" w:space="0" w:color="auto" w:frame="1"/>
          <w:lang w:eastAsia="fr-FR"/>
        </w:rPr>
      </w:pPr>
      <w:r w:rsidRPr="00F93DCF">
        <w:rPr>
          <w:rFonts w:ascii="inherit" w:eastAsia="Times New Roman" w:hAnsi="inherit" w:cs="Times New Roman"/>
          <w:b/>
          <w:bCs/>
          <w:color w:val="003849"/>
          <w:sz w:val="40"/>
          <w:szCs w:val="44"/>
          <w:bdr w:val="none" w:sz="0" w:space="0" w:color="auto" w:frame="1"/>
          <w:lang w:eastAsia="fr-FR"/>
        </w:rPr>
        <w:t>94/100</w:t>
      </w:r>
    </w:p>
    <w:p w14:paraId="2AEC61EE" w14:textId="25E98DF2" w:rsidR="00F93DCF" w:rsidRDefault="00F93DCF" w:rsidP="00F7255F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3849"/>
          <w:sz w:val="40"/>
          <w:szCs w:val="44"/>
          <w:bdr w:val="none" w:sz="0" w:space="0" w:color="auto" w:frame="1"/>
          <w:lang w:eastAsia="fr-FR"/>
        </w:rPr>
      </w:pPr>
      <w:r w:rsidRPr="00F93DCF">
        <w:rPr>
          <w:rFonts w:ascii="inherit" w:eastAsia="Times New Roman" w:hAnsi="inherit" w:cs="Times New Roman"/>
          <w:b/>
          <w:bCs/>
          <w:color w:val="003849"/>
          <w:sz w:val="40"/>
          <w:szCs w:val="44"/>
          <w:bdr w:val="none" w:sz="0" w:space="0" w:color="auto" w:frame="1"/>
          <w:lang w:eastAsia="fr-FR"/>
        </w:rPr>
        <w:t>Score 2021 Azurial</w:t>
      </w:r>
    </w:p>
    <w:p w14:paraId="0BF74FA3" w14:textId="77777777" w:rsidR="00F7255F" w:rsidRDefault="00F7255F" w:rsidP="00F7255F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3849"/>
          <w:sz w:val="40"/>
          <w:szCs w:val="44"/>
          <w:bdr w:val="none" w:sz="0" w:space="0" w:color="auto" w:frame="1"/>
          <w:lang w:eastAsia="fr-FR"/>
        </w:rPr>
      </w:pPr>
    </w:p>
    <w:p w14:paraId="2122C6D8" w14:textId="77777777" w:rsidR="00F93DCF" w:rsidRPr="00F93DCF" w:rsidRDefault="00F93DCF" w:rsidP="00814530">
      <w:pPr>
        <w:shd w:val="clear" w:color="auto" w:fill="0A1F44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</w:pPr>
      <w:r w:rsidRPr="00F93DCF">
        <w:rPr>
          <w:rFonts w:ascii="Open Sans" w:eastAsia="Times New Roman" w:hAnsi="Open Sans" w:cs="Open Sans"/>
          <w:color w:val="FFFFFF"/>
          <w:sz w:val="24"/>
          <w:szCs w:val="24"/>
          <w:lang w:eastAsia="fr-FR"/>
        </w:rPr>
        <w:t>La loi du 5 septembre 2018 « pour la liberté de choisir son avenir professionnel » impose aux entreprises de calculer chaque année leur index de l’égalité femmes-hommes*.</w:t>
      </w:r>
    </w:p>
    <w:p w14:paraId="21BAE40E" w14:textId="77777777" w:rsidR="00F93DCF" w:rsidRPr="00F93DCF" w:rsidRDefault="00F93DCF" w:rsidP="00F93DCF">
      <w:pPr>
        <w:spacing w:after="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3849"/>
          <w:sz w:val="36"/>
          <w:szCs w:val="36"/>
          <w:lang w:eastAsia="fr-FR"/>
        </w:rPr>
      </w:pPr>
      <w:r w:rsidRPr="00F93DCF">
        <w:rPr>
          <w:rFonts w:ascii="inherit" w:eastAsia="Times New Roman" w:hAnsi="inherit" w:cs="Times New Roman"/>
          <w:b/>
          <w:bCs/>
          <w:color w:val="003849"/>
          <w:sz w:val="36"/>
          <w:szCs w:val="36"/>
          <w:bdr w:val="none" w:sz="0" w:space="0" w:color="auto" w:frame="1"/>
          <w:lang w:eastAsia="fr-FR"/>
        </w:rPr>
        <w:t>L’index sur l’égalité femmes-hommes au sein de Azurial</w:t>
      </w:r>
    </w:p>
    <w:p w14:paraId="19CBAB47" w14:textId="400BC9B4" w:rsidR="00F93DCF" w:rsidRPr="00F93DCF" w:rsidRDefault="00F93DCF" w:rsidP="00F93DCF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</w:pPr>
      <w:r w:rsidRPr="00F93DCF"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>L’égalité entre les femmes et les hommes est un des enjeux majeurs que la société Azurial s’est engagé de relever.</w:t>
      </w:r>
      <w:r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 xml:space="preserve"> Ceci nous paraît un préalable indispensable pour évaluer et remédier à d’éventuelles différences de rémunération. </w:t>
      </w:r>
    </w:p>
    <w:p w14:paraId="3576937E" w14:textId="29D8DF5C" w:rsidR="00F93DCF" w:rsidRDefault="00F93DCF" w:rsidP="00F93DCF">
      <w:pPr>
        <w:spacing w:before="300" w:after="300" w:line="420" w:lineRule="atLeast"/>
        <w:textAlignment w:val="baseline"/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</w:pPr>
      <w:r w:rsidRPr="00F93DCF"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 xml:space="preserve">Notre score de </w:t>
      </w:r>
      <w:r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>94</w:t>
      </w:r>
      <w:r w:rsidRPr="00F93DCF"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 xml:space="preserve"> points, en </w:t>
      </w:r>
      <w:r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 xml:space="preserve">hausse </w:t>
      </w:r>
      <w:r w:rsidRPr="00F93DCF">
        <w:rPr>
          <w:rFonts w:ascii="inherit" w:eastAsia="Times New Roman" w:hAnsi="inherit" w:cs="Times New Roman"/>
          <w:color w:val="003849"/>
          <w:sz w:val="23"/>
          <w:szCs w:val="23"/>
          <w:lang w:eastAsia="fr-FR"/>
        </w:rPr>
        <w:t>cette année conforte les actions que nous menons tous ensemble chaque jour afin de lutter contre les discriminations.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14530" w14:paraId="62F6BD43" w14:textId="77777777" w:rsidTr="00F7255F">
        <w:tc>
          <w:tcPr>
            <w:tcW w:w="23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07921ABA" w14:textId="4123BB60" w:rsidR="00814530" w:rsidRPr="00F7255F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  <w:r w:rsidRPr="00F7255F"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  <w:t>Ecart de rémunération entre les femmes et les hommes</w:t>
            </w:r>
          </w:p>
        </w:tc>
        <w:tc>
          <w:tcPr>
            <w:tcW w:w="23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0B17F683" w14:textId="1D83970A" w:rsidR="00814530" w:rsidRPr="00F7255F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  <w:r w:rsidRPr="00F7255F"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  <w:t>Nombre de salariées augmentées à leur retour de congé maternité</w:t>
            </w:r>
          </w:p>
        </w:tc>
        <w:tc>
          <w:tcPr>
            <w:tcW w:w="23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3158C81F" w14:textId="5065C1A5" w:rsidR="00814530" w:rsidRPr="00F7255F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  <w:r w:rsidRPr="00F7255F"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  <w:t>Ecart de taux de promotions entre les femmes et les hommes</w:t>
            </w:r>
          </w:p>
        </w:tc>
        <w:tc>
          <w:tcPr>
            <w:tcW w:w="233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36022082" w14:textId="702C0E7D" w:rsidR="00814530" w:rsidRPr="00F7255F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  <w:r w:rsidRPr="00F7255F"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  <w:t>Ecart de répartition des augmentations individuelles</w:t>
            </w:r>
          </w:p>
        </w:tc>
        <w:tc>
          <w:tcPr>
            <w:tcW w:w="233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0AA5ED80" w14:textId="5C4609FC" w:rsidR="00814530" w:rsidRPr="00F7255F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  <w:r w:rsidRPr="00F7255F"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  <w:t>Parité parmi les 10 plus hautes rémunérations</w:t>
            </w:r>
          </w:p>
        </w:tc>
        <w:tc>
          <w:tcPr>
            <w:tcW w:w="233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65B9D9E8" w14:textId="77777777" w:rsidR="00F7255F" w:rsidRDefault="00F7255F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</w:p>
          <w:p w14:paraId="1A950BEA" w14:textId="08134139" w:rsidR="00814530" w:rsidRPr="00F7255F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</w:pPr>
            <w:r w:rsidRPr="00F7255F">
              <w:rPr>
                <w:rFonts w:ascii="inherit" w:eastAsia="Times New Roman" w:hAnsi="inherit" w:cs="Times New Roman"/>
                <w:b/>
                <w:bCs/>
                <w:color w:val="FFFFFF" w:themeColor="background1"/>
                <w:sz w:val="21"/>
                <w:lang w:eastAsia="fr-FR"/>
              </w:rPr>
              <w:t>Total</w:t>
            </w:r>
          </w:p>
        </w:tc>
      </w:tr>
      <w:tr w:rsidR="00814530" w14:paraId="626C69F5" w14:textId="77777777" w:rsidTr="00F7255F">
        <w:trPr>
          <w:trHeight w:val="416"/>
        </w:trPr>
        <w:tc>
          <w:tcPr>
            <w:tcW w:w="2332" w:type="dxa"/>
            <w:tcBorders>
              <w:top w:val="single" w:sz="4" w:space="0" w:color="4472C4" w:themeColor="accent1"/>
            </w:tcBorders>
          </w:tcPr>
          <w:p w14:paraId="2EC7A874" w14:textId="444213A1" w:rsidR="00814530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39/40</w:t>
            </w:r>
          </w:p>
        </w:tc>
        <w:tc>
          <w:tcPr>
            <w:tcW w:w="2332" w:type="dxa"/>
            <w:tcBorders>
              <w:top w:val="single" w:sz="4" w:space="0" w:color="4472C4" w:themeColor="accent1"/>
            </w:tcBorders>
          </w:tcPr>
          <w:p w14:paraId="3C96404F" w14:textId="7FE9287C" w:rsidR="00814530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15/15</w:t>
            </w:r>
          </w:p>
        </w:tc>
        <w:tc>
          <w:tcPr>
            <w:tcW w:w="2332" w:type="dxa"/>
            <w:tcBorders>
              <w:top w:val="single" w:sz="4" w:space="0" w:color="4472C4" w:themeColor="accent1"/>
            </w:tcBorders>
          </w:tcPr>
          <w:p w14:paraId="6B2DEC31" w14:textId="1DD4FB1B" w:rsidR="00814530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1</w:t>
            </w:r>
            <w:r w:rsidR="00F7255F"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0</w:t>
            </w: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/15</w:t>
            </w:r>
          </w:p>
        </w:tc>
        <w:tc>
          <w:tcPr>
            <w:tcW w:w="2332" w:type="dxa"/>
            <w:tcBorders>
              <w:top w:val="single" w:sz="4" w:space="0" w:color="4472C4" w:themeColor="accent1"/>
            </w:tcBorders>
          </w:tcPr>
          <w:p w14:paraId="5BCAF74E" w14:textId="516C5889" w:rsidR="00814530" w:rsidRDefault="00814530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20/20</w:t>
            </w:r>
          </w:p>
        </w:tc>
        <w:tc>
          <w:tcPr>
            <w:tcW w:w="2333" w:type="dxa"/>
            <w:tcBorders>
              <w:top w:val="single" w:sz="4" w:space="0" w:color="4472C4" w:themeColor="accent1"/>
            </w:tcBorders>
          </w:tcPr>
          <w:p w14:paraId="147E4D92" w14:textId="5743C5DF" w:rsidR="00814530" w:rsidRDefault="00F7255F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10/10</w:t>
            </w:r>
          </w:p>
        </w:tc>
        <w:tc>
          <w:tcPr>
            <w:tcW w:w="2333" w:type="dxa"/>
            <w:tcBorders>
              <w:top w:val="single" w:sz="4" w:space="0" w:color="4472C4" w:themeColor="accent1"/>
            </w:tcBorders>
          </w:tcPr>
          <w:p w14:paraId="4C729289" w14:textId="626BB514" w:rsidR="00814530" w:rsidRDefault="00F7255F" w:rsidP="00F7255F">
            <w:pPr>
              <w:spacing w:before="300" w:after="300" w:line="4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</w:pPr>
            <w:r>
              <w:rPr>
                <w:rFonts w:ascii="inherit" w:eastAsia="Times New Roman" w:hAnsi="inherit" w:cs="Times New Roman"/>
                <w:color w:val="003849"/>
                <w:sz w:val="23"/>
                <w:szCs w:val="23"/>
                <w:lang w:eastAsia="fr-FR"/>
              </w:rPr>
              <w:t>94/100</w:t>
            </w:r>
          </w:p>
        </w:tc>
      </w:tr>
    </w:tbl>
    <w:p w14:paraId="33EAF8CC" w14:textId="77777777" w:rsidR="00F93DCF" w:rsidRPr="00F93DCF" w:rsidRDefault="00F93DCF" w:rsidP="00F7255F"/>
    <w:sectPr w:rsidR="00F93DCF" w:rsidRPr="00F93DCF" w:rsidSect="00F7255F">
      <w:pgSz w:w="16838" w:h="11906" w:orient="landscape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9BE4" w14:textId="77777777" w:rsidR="00F7255F" w:rsidRDefault="00F7255F" w:rsidP="00F7255F">
      <w:pPr>
        <w:spacing w:after="0" w:line="240" w:lineRule="auto"/>
      </w:pPr>
      <w:r>
        <w:separator/>
      </w:r>
    </w:p>
  </w:endnote>
  <w:endnote w:type="continuationSeparator" w:id="0">
    <w:p w14:paraId="4302634E" w14:textId="77777777" w:rsidR="00F7255F" w:rsidRDefault="00F7255F" w:rsidP="00F7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D2E" w14:textId="77777777" w:rsidR="00F7255F" w:rsidRDefault="00F7255F" w:rsidP="00F7255F">
      <w:pPr>
        <w:spacing w:after="0" w:line="240" w:lineRule="auto"/>
      </w:pPr>
      <w:r>
        <w:separator/>
      </w:r>
    </w:p>
  </w:footnote>
  <w:footnote w:type="continuationSeparator" w:id="0">
    <w:p w14:paraId="14A964A8" w14:textId="77777777" w:rsidR="00F7255F" w:rsidRDefault="00F7255F" w:rsidP="00F72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CF"/>
    <w:rsid w:val="0079347F"/>
    <w:rsid w:val="00814530"/>
    <w:rsid w:val="00F7255F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C970"/>
  <w15:chartTrackingRefBased/>
  <w15:docId w15:val="{615C29A7-B589-49FE-BBE1-697E3B9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93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F9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left">
    <w:name w:val="has-text-align-left"/>
    <w:basedOn w:val="Normal"/>
    <w:rsid w:val="00F9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F93DCF"/>
  </w:style>
  <w:style w:type="character" w:customStyle="1" w:styleId="Titre2Car">
    <w:name w:val="Titre 2 Car"/>
    <w:basedOn w:val="Policepardfaut"/>
    <w:link w:val="Titre2"/>
    <w:uiPriority w:val="9"/>
    <w:rsid w:val="00F93D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93D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55F"/>
  </w:style>
  <w:style w:type="paragraph" w:styleId="Pieddepage">
    <w:name w:val="footer"/>
    <w:basedOn w:val="Normal"/>
    <w:link w:val="PieddepageCar"/>
    <w:uiPriority w:val="99"/>
    <w:unhideWhenUsed/>
    <w:rsid w:val="00F7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0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azurial.fr/sites/default/files/2021-10/Azurial_Logo_2020_RVB%20Copy%20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urial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MAYNADIE</dc:creator>
  <cp:keywords/>
  <dc:description/>
  <cp:lastModifiedBy>Vanessa MAYNADIE</cp:lastModifiedBy>
  <cp:revision>1</cp:revision>
  <dcterms:created xsi:type="dcterms:W3CDTF">2022-02-16T13:14:00Z</dcterms:created>
  <dcterms:modified xsi:type="dcterms:W3CDTF">2022-02-16T13:53:00Z</dcterms:modified>
</cp:coreProperties>
</file>